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7D" w:rsidRPr="00C4577D" w:rsidRDefault="00C4577D">
      <w:pPr>
        <w:pStyle w:val="newncpi"/>
        <w:ind w:firstLine="0"/>
        <w:jc w:val="center"/>
        <w:rPr>
          <w:lang w:val="ru-RU"/>
        </w:rPr>
      </w:pPr>
      <w:bookmarkStart w:id="0" w:name="_GoBack"/>
      <w:bookmarkEnd w:id="0"/>
      <w:r w:rsidRPr="00C4577D">
        <w:rPr>
          <w:rStyle w:val="name"/>
          <w:lang w:val="ru-RU"/>
        </w:rPr>
        <w:t>РЕШЕНИЕ</w:t>
      </w:r>
      <w:r>
        <w:rPr>
          <w:rStyle w:val="name"/>
        </w:rPr>
        <w:t> </w:t>
      </w:r>
      <w:r w:rsidRPr="00C4577D">
        <w:rPr>
          <w:rStyle w:val="promulgator"/>
          <w:lang w:val="ru-RU"/>
        </w:rPr>
        <w:t>ГОМЕЛЬСКОГО ОБЛАСТНОГО ИСПОЛНИТЕЛЬНОГО КОМИТЕТА</w:t>
      </w:r>
    </w:p>
    <w:p w:rsidR="00C4577D" w:rsidRPr="00C4577D" w:rsidRDefault="00C4577D">
      <w:pPr>
        <w:pStyle w:val="newncpi"/>
        <w:ind w:firstLine="0"/>
        <w:jc w:val="center"/>
        <w:rPr>
          <w:lang w:val="ru-RU"/>
        </w:rPr>
      </w:pPr>
      <w:r w:rsidRPr="00C4577D">
        <w:rPr>
          <w:rStyle w:val="datepr"/>
          <w:lang w:val="ru-RU"/>
        </w:rPr>
        <w:t>31 июля 2023</w:t>
      </w:r>
      <w:r>
        <w:rPr>
          <w:rStyle w:val="datepr"/>
        </w:rPr>
        <w:t> </w:t>
      </w:r>
      <w:r w:rsidRPr="00C4577D">
        <w:rPr>
          <w:rStyle w:val="datepr"/>
          <w:lang w:val="ru-RU"/>
        </w:rPr>
        <w:t>г.</w:t>
      </w:r>
      <w:r w:rsidRPr="00C4577D">
        <w:rPr>
          <w:rStyle w:val="number"/>
          <w:lang w:val="ru-RU"/>
        </w:rPr>
        <w:t xml:space="preserve"> №</w:t>
      </w:r>
      <w:r>
        <w:rPr>
          <w:rStyle w:val="number"/>
        </w:rPr>
        <w:t> </w:t>
      </w:r>
      <w:r w:rsidRPr="00C4577D">
        <w:rPr>
          <w:rStyle w:val="number"/>
          <w:lang w:val="ru-RU"/>
        </w:rPr>
        <w:t>574</w:t>
      </w:r>
    </w:p>
    <w:p w:rsidR="00C4577D" w:rsidRPr="00C4577D" w:rsidRDefault="00C4577D">
      <w:pPr>
        <w:pStyle w:val="titlencpi"/>
        <w:rPr>
          <w:lang w:val="ru-RU"/>
        </w:rPr>
      </w:pPr>
      <w:r w:rsidRPr="00C4577D">
        <w:rPr>
          <w:lang w:val="ru-RU"/>
        </w:rPr>
        <w:t>О согласовании позиции и назначении представителей государства в органах управления хозяйственных обществ</w:t>
      </w:r>
    </w:p>
    <w:p w:rsidR="00C4577D" w:rsidRPr="00C4577D" w:rsidRDefault="00C4577D">
      <w:pPr>
        <w:pStyle w:val="preamble"/>
        <w:rPr>
          <w:lang w:val="ru-RU"/>
        </w:rPr>
      </w:pPr>
      <w:r w:rsidRPr="00C4577D">
        <w:rPr>
          <w:lang w:val="ru-RU"/>
        </w:rPr>
        <w:t>На основании пункта 1 статьи 40 Закона Республики Беларусь от 4 января 2010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108-З «О местном управлении и самоуправлении в Республике Беларусь» Гомельский областной исполнительный комитет РЕШИЛ: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1.</w:t>
      </w:r>
      <w:r>
        <w:t> </w:t>
      </w:r>
      <w:r w:rsidRPr="00C4577D">
        <w:rPr>
          <w:lang w:val="ru-RU"/>
        </w:rPr>
        <w:t>Установить, что:</w:t>
      </w:r>
    </w:p>
    <w:p w:rsidR="00C4577D" w:rsidRPr="00C4577D" w:rsidRDefault="00C4577D">
      <w:pPr>
        <w:pStyle w:val="underpoint"/>
        <w:rPr>
          <w:lang w:val="ru-RU"/>
        </w:rPr>
      </w:pPr>
      <w:r w:rsidRPr="00C4577D">
        <w:rPr>
          <w:lang w:val="ru-RU"/>
        </w:rPr>
        <w:t>1.1.</w:t>
      </w:r>
      <w:r>
        <w:t> </w:t>
      </w:r>
      <w:r w:rsidRPr="00C4577D">
        <w:rPr>
          <w:lang w:val="ru-RU"/>
        </w:rPr>
        <w:t>подготовка проектов решений Гомельского областного исполнительного комитета (далее</w:t>
      </w:r>
      <w:r>
        <w:t> </w:t>
      </w:r>
      <w:r w:rsidRPr="00C4577D">
        <w:rPr>
          <w:lang w:val="ru-RU"/>
        </w:rPr>
        <w:t>– облисполком) о позиции представителей государства в органах управления хозяйственных обществ, акции (доли в уставных фондах) которых принадлежат Гомельской области (далее</w:t>
      </w:r>
      <w:r>
        <w:t> </w:t>
      </w:r>
      <w:r w:rsidRPr="00C4577D">
        <w:rPr>
          <w:lang w:val="ru-RU"/>
        </w:rPr>
        <w:t>– хозяйственное общество), по вопросу отчуждения внесенных в уставный фонд управляющей компании холдинга с участием государства</w:t>
      </w:r>
      <w:r>
        <w:t> </w:t>
      </w:r>
      <w:r w:rsidRPr="00C4577D">
        <w:rPr>
          <w:lang w:val="ru-RU"/>
        </w:rPr>
        <w:t>– хозяйственного общества акций (долей в уставных фондах) дочерних компаний этого холдинга, ранее принадлежавших Гомельской области, осуществляется структурными подразделениями облисполкома, государственными объединениями, уполномоченными управлять акциями (долями в уставных фондах) хозяйственных обществ (далее</w:t>
      </w:r>
      <w:r>
        <w:t> </w:t>
      </w:r>
      <w:r w:rsidRPr="00C4577D">
        <w:rPr>
          <w:lang w:val="ru-RU"/>
        </w:rPr>
        <w:t>– органы, осуществляющие владельческий надзор), на основании перечня документов согласно приложению;</w:t>
      </w:r>
    </w:p>
    <w:p w:rsidR="00C4577D" w:rsidRPr="00C4577D" w:rsidRDefault="00C4577D">
      <w:pPr>
        <w:pStyle w:val="underpoint"/>
        <w:rPr>
          <w:lang w:val="ru-RU"/>
        </w:rPr>
      </w:pPr>
      <w:r w:rsidRPr="00C4577D">
        <w:rPr>
          <w:lang w:val="ru-RU"/>
        </w:rPr>
        <w:t>1.2.</w:t>
      </w:r>
      <w:r>
        <w:t> </w:t>
      </w:r>
      <w:r w:rsidRPr="00C4577D">
        <w:rPr>
          <w:lang w:val="ru-RU"/>
        </w:rPr>
        <w:t>подготовка проектов распоряжений председателя облисполкома о назначении представителей государства в органы управления хозяйственных обществ осуществляется органами, осуществляющими владельческий надзор, по согласованию с комитетом государственного имущества облисполкома (далее</w:t>
      </w:r>
      <w:r>
        <w:t> </w:t>
      </w:r>
      <w:r w:rsidRPr="00C4577D">
        <w:rPr>
          <w:lang w:val="ru-RU"/>
        </w:rPr>
        <w:t>– комитет «Гомельоблимущество»);</w:t>
      </w:r>
    </w:p>
    <w:p w:rsidR="00C4577D" w:rsidRPr="00C4577D" w:rsidRDefault="00C4577D">
      <w:pPr>
        <w:pStyle w:val="underpoint"/>
        <w:rPr>
          <w:lang w:val="ru-RU"/>
        </w:rPr>
      </w:pPr>
      <w:r w:rsidRPr="00C4577D">
        <w:rPr>
          <w:lang w:val="ru-RU"/>
        </w:rPr>
        <w:t>1.3.</w:t>
      </w:r>
      <w:r>
        <w:t> </w:t>
      </w:r>
      <w:r w:rsidRPr="00C4577D">
        <w:rPr>
          <w:lang w:val="ru-RU"/>
        </w:rPr>
        <w:t>предложение о назначении представителей государства, направленное органом, осуществляющим владельческий надзор, в комитет «Гомельоблимущество», должно быть подписано руководителем (заместителем руководителя) органа, осуществляющего владельческий надзор, и содержать сведения: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t>о кандидатуре для назначения представителем государства: фамилия, собственное имя и отчество (если таковое имеется) гражданина Республики Беларусь, место его работы и занимаемая должность, номер и дата выдачи ему удостоверения на право осуществления полномочий представителя государства в органах управления хозяйственных обществ, акции (доли) которых принадлежат Республике Беларусь или административно-территориальным единицам, информация о последнем повышении квалификации представителя государства, обоснование необходимости назначения представителя государства (в случае назначения в органы управления хозяйственного общества одновременно нескольких представителей государства сведения указываются в отношении каждого из них);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t>о хозяйственном обществе, в которое назначается представитель государства: наименование хозяйственного общества и основные финансово-экономические показатели деятельности (размер чистой прибыли (убытка), рентабельность реализованных товаров, продукции, работ, услуг по состоянию на начало текущего квартала в случае, если с даты создания хозяйственного общества прошло более четырех месяцев);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t>о представителе государства, полномочия которого прекращаются (прекращены) в порядке, установленном законодательством: фамилия, собственное имя и отчество (если таковое имеется), место работы и занимаемая должность, причины отзыва представителя государства.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lastRenderedPageBreak/>
        <w:t>Комитет «Гомельоблимущество» вправе потребовать от органов, осуществляющих владельческий надзор, доработки и</w:t>
      </w:r>
      <w:r>
        <w:t> </w:t>
      </w:r>
      <w:r w:rsidRPr="00C4577D">
        <w:rPr>
          <w:lang w:val="ru-RU"/>
        </w:rPr>
        <w:t>(или) уточнения представленных документов при наличии такой необходимости;</w:t>
      </w:r>
    </w:p>
    <w:p w:rsidR="00C4577D" w:rsidRPr="00C4577D" w:rsidRDefault="00C4577D">
      <w:pPr>
        <w:pStyle w:val="underpoint"/>
        <w:rPr>
          <w:lang w:val="ru-RU"/>
        </w:rPr>
      </w:pPr>
      <w:r w:rsidRPr="00C4577D">
        <w:rPr>
          <w:lang w:val="ru-RU"/>
        </w:rPr>
        <w:t>1.4.</w:t>
      </w:r>
      <w:r>
        <w:t> </w:t>
      </w:r>
      <w:r w:rsidRPr="00C4577D">
        <w:rPr>
          <w:lang w:val="ru-RU"/>
        </w:rPr>
        <w:t>согласование комитета «Гомельоблимущество» оформляется в виде письма, которое направляется органу, осуществляющему владельческий надзор, не позднее десяти календарных дней со дня представления документов, указанных в подпункте 1.3 настоящего пункта, в комитет «Гомельоблимущество».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2.</w:t>
      </w:r>
      <w:r>
        <w:t> </w:t>
      </w:r>
      <w:r w:rsidRPr="00C4577D">
        <w:rPr>
          <w:lang w:val="ru-RU"/>
        </w:rPr>
        <w:t>Органам, осуществляющим владельческий надзор, при подготовке проектов поручений представителям государства в органах управления хозяйственных обществ по вопросам реорганизации и ликвидации обществ учитывать письменное мнение заместителя председателя облисполкома, курирующего отрасль.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3.</w:t>
      </w:r>
      <w:r>
        <w:t> </w:t>
      </w:r>
      <w:r w:rsidRPr="00C4577D">
        <w:rPr>
          <w:lang w:val="ru-RU"/>
        </w:rPr>
        <w:t>Признать утратившими силу: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t>решение Гомельского областного исполнительного комитета от 22 февраля 2017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156 «О некоторых вопросах управления принадлежащими Гомельской области акциями открытого акционерного общества «Агентство по управлению активами»;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t>решение Гомельского областного исполнительного комитета от 26 сентября 2018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820 «О внесении изменений в решение Гомельского областного исполнительного комитета от 22 февраля 2017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156»;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t>решение Гомельского областного исполнительного комитета от 20 ноября 2018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973 «О внесении изменения в решение Гомельского областного исполнительного комитета от 22 февраля 2017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156»;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t>решение Гомельского областного исполнительного комитета от 7 октября 2019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779 «О согласовании позиции и назначении представителей государства в органах управления хозяйственных обществ»;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t>решение Гомельского областного исполнительного комитета от 30 марта 2020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260 «Об установлении формы отчета представителя государства»;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t>решение Гомельского областного исполнительного комитета от 23 марта 2021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194 «Об изменении решения Гомельского областного исполнительного комитета от 30 марта 2020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260».</w:t>
      </w:r>
    </w:p>
    <w:p w:rsidR="00C4577D" w:rsidRPr="00C4577D" w:rsidRDefault="00C4577D">
      <w:pPr>
        <w:pStyle w:val="newncpi"/>
        <w:rPr>
          <w:lang w:val="ru-RU"/>
        </w:rPr>
      </w:pPr>
      <w:r w:rsidRPr="00C4577D">
        <w:rPr>
          <w:lang w:val="ru-RU"/>
        </w:rPr>
        <w:t>решение Гомельского областного исполнительного комитета от 17 апреля 2023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308 «Об изменении решения Гомельского областного исполнительного комитета от 7 октября 2019</w:t>
      </w:r>
      <w:r>
        <w:t> </w:t>
      </w:r>
      <w:r w:rsidRPr="00C4577D">
        <w:rPr>
          <w:lang w:val="ru-RU"/>
        </w:rPr>
        <w:t>г. №</w:t>
      </w:r>
      <w:r>
        <w:t> </w:t>
      </w:r>
      <w:r w:rsidRPr="00C4577D">
        <w:rPr>
          <w:lang w:val="ru-RU"/>
        </w:rPr>
        <w:t>779».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4.</w:t>
      </w:r>
      <w:r>
        <w:t> </w:t>
      </w:r>
      <w:r w:rsidRPr="00C4577D">
        <w:rPr>
          <w:lang w:val="ru-RU"/>
        </w:rPr>
        <w:t>Контроль за исполнением настоящего решения возложить на заместителей председателя облисполкома по направлениям деятельности.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5.</w:t>
      </w:r>
      <w:r>
        <w:t> </w:t>
      </w:r>
      <w:r w:rsidRPr="00C4577D">
        <w:rPr>
          <w:lang w:val="ru-RU"/>
        </w:rPr>
        <w:t>Настоящее решение вступает в силу с 7 сентября 2023</w:t>
      </w:r>
      <w:r>
        <w:t> </w:t>
      </w:r>
      <w:r w:rsidRPr="00C4577D">
        <w:rPr>
          <w:lang w:val="ru-RU"/>
        </w:rPr>
        <w:t>г.</w:t>
      </w:r>
    </w:p>
    <w:p w:rsidR="00C4577D" w:rsidRPr="00C4577D" w:rsidRDefault="00C4577D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0"/>
        <w:gridCol w:w="4361"/>
      </w:tblGrid>
      <w:tr w:rsidR="00C4577D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77D" w:rsidRDefault="00C4577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577D" w:rsidRDefault="00C4577D">
            <w:pPr>
              <w:pStyle w:val="newncpi0"/>
              <w:jc w:val="right"/>
            </w:pPr>
            <w:r>
              <w:rPr>
                <w:rStyle w:val="pers"/>
              </w:rPr>
              <w:t>И.И.Крупко</w:t>
            </w:r>
          </w:p>
        </w:tc>
      </w:tr>
      <w:tr w:rsidR="00C4577D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77D" w:rsidRDefault="00C4577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577D" w:rsidRDefault="00C4577D">
            <w:pPr>
              <w:pStyle w:val="newncpi0"/>
              <w:jc w:val="right"/>
            </w:pPr>
            <w:r>
              <w:t> </w:t>
            </w:r>
          </w:p>
        </w:tc>
      </w:tr>
      <w:tr w:rsidR="00C4577D">
        <w:trPr>
          <w:trHeight w:val="240"/>
        </w:trPr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77D" w:rsidRDefault="00C4577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4577D" w:rsidRDefault="00C4577D">
            <w:pPr>
              <w:pStyle w:val="newncpi0"/>
              <w:jc w:val="right"/>
            </w:pPr>
            <w:r>
              <w:rPr>
                <w:rStyle w:val="pers"/>
              </w:rPr>
              <w:t>Е.В.Кличковская</w:t>
            </w:r>
          </w:p>
        </w:tc>
      </w:tr>
    </w:tbl>
    <w:p w:rsidR="00C4577D" w:rsidRDefault="00C4577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3231"/>
      </w:tblGrid>
      <w:tr w:rsidR="00C4577D" w:rsidRPr="00C4577D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77D" w:rsidRDefault="00C4577D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577D" w:rsidRPr="00C4577D" w:rsidRDefault="00C4577D">
            <w:pPr>
              <w:pStyle w:val="append1"/>
              <w:rPr>
                <w:lang w:val="ru-RU"/>
              </w:rPr>
            </w:pPr>
            <w:r w:rsidRPr="00C4577D">
              <w:rPr>
                <w:lang w:val="ru-RU"/>
              </w:rPr>
              <w:t>Приложение</w:t>
            </w:r>
          </w:p>
          <w:p w:rsidR="00C4577D" w:rsidRPr="00C4577D" w:rsidRDefault="00C4577D">
            <w:pPr>
              <w:pStyle w:val="append"/>
              <w:rPr>
                <w:lang w:val="ru-RU"/>
              </w:rPr>
            </w:pPr>
            <w:r w:rsidRPr="00C4577D">
              <w:rPr>
                <w:lang w:val="ru-RU"/>
              </w:rPr>
              <w:t>к решению</w:t>
            </w:r>
            <w:r w:rsidRPr="00C4577D">
              <w:rPr>
                <w:lang w:val="ru-RU"/>
              </w:rPr>
              <w:br/>
              <w:t>Гомельского областного</w:t>
            </w:r>
            <w:r w:rsidRPr="00C4577D">
              <w:rPr>
                <w:lang w:val="ru-RU"/>
              </w:rPr>
              <w:br/>
              <w:t>исполнительного комитета</w:t>
            </w:r>
            <w:r w:rsidRPr="00C4577D">
              <w:rPr>
                <w:lang w:val="ru-RU"/>
              </w:rPr>
              <w:br/>
              <w:t>31.07.2023</w:t>
            </w:r>
            <w:r>
              <w:t> </w:t>
            </w:r>
            <w:r w:rsidRPr="00C4577D">
              <w:rPr>
                <w:lang w:val="ru-RU"/>
              </w:rPr>
              <w:t>№</w:t>
            </w:r>
            <w:r>
              <w:t> </w:t>
            </w:r>
            <w:r w:rsidRPr="00C4577D">
              <w:rPr>
                <w:lang w:val="ru-RU"/>
              </w:rPr>
              <w:t>574</w:t>
            </w:r>
          </w:p>
        </w:tc>
      </w:tr>
    </w:tbl>
    <w:p w:rsidR="00C4577D" w:rsidRPr="00C4577D" w:rsidRDefault="00C4577D">
      <w:pPr>
        <w:pStyle w:val="titlep"/>
        <w:jc w:val="left"/>
        <w:rPr>
          <w:lang w:val="ru-RU"/>
        </w:rPr>
      </w:pPr>
      <w:r w:rsidRPr="00C4577D">
        <w:rPr>
          <w:lang w:val="ru-RU"/>
        </w:rPr>
        <w:t>Перечень документов, необходимых для подготовки проектов решений</w:t>
      </w:r>
      <w:r w:rsidRPr="00C4577D">
        <w:rPr>
          <w:lang w:val="ru-RU"/>
        </w:rPr>
        <w:br/>
        <w:t>облисполкома о позиции представителей государства в органах</w:t>
      </w:r>
      <w:r w:rsidRPr="00C4577D">
        <w:rPr>
          <w:lang w:val="ru-RU"/>
        </w:rPr>
        <w:br/>
        <w:t>управления хозяйственных обществ по вопросам отчуждения</w:t>
      </w:r>
      <w:r w:rsidRPr="00C4577D">
        <w:rPr>
          <w:lang w:val="ru-RU"/>
        </w:rPr>
        <w:br/>
      </w:r>
      <w:r w:rsidRPr="00C4577D">
        <w:rPr>
          <w:lang w:val="ru-RU"/>
        </w:rPr>
        <w:lastRenderedPageBreak/>
        <w:t>управляющей компанией холдинга с участием государства</w:t>
      </w:r>
      <w:r>
        <w:t> </w:t>
      </w:r>
      <w:r w:rsidRPr="00C4577D">
        <w:rPr>
          <w:lang w:val="ru-RU"/>
        </w:rPr>
        <w:t>–</w:t>
      </w:r>
      <w:r w:rsidRPr="00C4577D">
        <w:rPr>
          <w:lang w:val="ru-RU"/>
        </w:rPr>
        <w:br/>
        <w:t>хозяйственным обществом внесенных в ее уставный фонд акций</w:t>
      </w:r>
      <w:r w:rsidRPr="00C4577D">
        <w:rPr>
          <w:lang w:val="ru-RU"/>
        </w:rPr>
        <w:br/>
        <w:t>(долей в уставных фондах) дочерних компаний этого холдинга,</w:t>
      </w:r>
      <w:r w:rsidRPr="00C4577D">
        <w:rPr>
          <w:lang w:val="ru-RU"/>
        </w:rPr>
        <w:br/>
        <w:t>ранее принадлежавших Гомельской области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1.</w:t>
      </w:r>
      <w:r>
        <w:t> </w:t>
      </w:r>
      <w:r w:rsidRPr="00C4577D">
        <w:rPr>
          <w:lang w:val="ru-RU"/>
        </w:rPr>
        <w:t>Согласие принимающей стороны</w:t>
      </w:r>
      <w:r w:rsidRPr="00C4577D">
        <w:rPr>
          <w:vertAlign w:val="superscript"/>
          <w:lang w:val="ru-RU"/>
        </w:rPr>
        <w:t>1</w:t>
      </w:r>
      <w:r w:rsidRPr="00C4577D">
        <w:rPr>
          <w:lang w:val="ru-RU"/>
        </w:rPr>
        <w:t>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2.</w:t>
      </w:r>
      <w:r>
        <w:t> </w:t>
      </w:r>
      <w:r w:rsidRPr="00C4577D">
        <w:rPr>
          <w:lang w:val="ru-RU"/>
        </w:rPr>
        <w:t>Выписка со счета «депо».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3.</w:t>
      </w:r>
      <w:r>
        <w:t> </w:t>
      </w:r>
      <w:r w:rsidRPr="00C4577D">
        <w:rPr>
          <w:lang w:val="ru-RU"/>
        </w:rPr>
        <w:t>Расчет балансовой стоимости акций (долей в уставных фондах) на последнюю отчетную дату.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4.</w:t>
      </w:r>
      <w:r>
        <w:t> </w:t>
      </w:r>
      <w:r w:rsidRPr="00C4577D">
        <w:rPr>
          <w:lang w:val="ru-RU"/>
        </w:rPr>
        <w:t>Документ, подтверждающий государственную регистрацию юридического лица, индивидуального предпринимателя, или документ, удостоверяющий личность</w:t>
      </w:r>
      <w:r w:rsidRPr="00C4577D">
        <w:rPr>
          <w:vertAlign w:val="superscript"/>
          <w:lang w:val="ru-RU"/>
        </w:rPr>
        <w:t>1</w:t>
      </w:r>
      <w:r w:rsidRPr="00C4577D">
        <w:rPr>
          <w:lang w:val="ru-RU"/>
        </w:rPr>
        <w:t xml:space="preserve">, </w:t>
      </w:r>
      <w:r w:rsidRPr="00C4577D">
        <w:rPr>
          <w:vertAlign w:val="superscript"/>
          <w:lang w:val="ru-RU"/>
        </w:rPr>
        <w:t>2</w:t>
      </w:r>
      <w:r w:rsidRPr="00C4577D">
        <w:rPr>
          <w:lang w:val="ru-RU"/>
        </w:rPr>
        <w:t>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5.</w:t>
      </w:r>
      <w:r>
        <w:t> </w:t>
      </w:r>
      <w:r w:rsidRPr="00C4577D">
        <w:rPr>
          <w:lang w:val="ru-RU"/>
        </w:rPr>
        <w:t>Учредительные документы хозяйственного общества.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6.</w:t>
      </w:r>
      <w:r>
        <w:t> </w:t>
      </w:r>
      <w:r w:rsidRPr="00C4577D">
        <w:rPr>
          <w:lang w:val="ru-RU"/>
        </w:rPr>
        <w:t>Заключение об оценке (по определению рыночной стоимости)</w:t>
      </w:r>
      <w:r w:rsidRPr="00C4577D">
        <w:rPr>
          <w:vertAlign w:val="superscript"/>
          <w:lang w:val="ru-RU"/>
        </w:rPr>
        <w:t>1</w:t>
      </w:r>
      <w:r w:rsidRPr="00C4577D">
        <w:rPr>
          <w:lang w:val="ru-RU"/>
        </w:rPr>
        <w:t xml:space="preserve">, </w:t>
      </w:r>
      <w:r w:rsidRPr="00C4577D">
        <w:rPr>
          <w:vertAlign w:val="superscript"/>
          <w:lang w:val="ru-RU"/>
        </w:rPr>
        <w:t>2</w:t>
      </w:r>
      <w:r w:rsidRPr="00C4577D">
        <w:rPr>
          <w:lang w:val="ru-RU"/>
        </w:rPr>
        <w:t>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7.</w:t>
      </w:r>
      <w:r>
        <w:t> </w:t>
      </w:r>
      <w:r w:rsidRPr="00C4577D">
        <w:rPr>
          <w:lang w:val="ru-RU"/>
        </w:rPr>
        <w:t>Заключение экспертизы достоверности оценки неденежного вклада (акт достоверности оценки стоимости неденежного вклада)</w:t>
      </w:r>
      <w:r w:rsidRPr="00C4577D">
        <w:rPr>
          <w:vertAlign w:val="superscript"/>
          <w:lang w:val="ru-RU"/>
        </w:rPr>
        <w:t>2</w:t>
      </w:r>
      <w:r w:rsidRPr="00C4577D">
        <w:rPr>
          <w:lang w:val="ru-RU"/>
        </w:rPr>
        <w:t>, за исключением случаев, когда в соответствии с законодательными актами Республики Беларусь экспертиза достоверности оценки стоимости такого вклада не проводится.</w:t>
      </w:r>
    </w:p>
    <w:p w:rsidR="00C4577D" w:rsidRPr="00C4577D" w:rsidRDefault="00C4577D">
      <w:pPr>
        <w:pStyle w:val="point"/>
        <w:rPr>
          <w:lang w:val="ru-RU"/>
        </w:rPr>
      </w:pPr>
      <w:r w:rsidRPr="00C4577D">
        <w:rPr>
          <w:lang w:val="ru-RU"/>
        </w:rPr>
        <w:t>8.</w:t>
      </w:r>
      <w:r>
        <w:t> </w:t>
      </w:r>
      <w:r w:rsidRPr="00C4577D">
        <w:rPr>
          <w:lang w:val="ru-RU"/>
        </w:rPr>
        <w:t>Согласование комитета «Гомельоблимущество».</w:t>
      </w:r>
    </w:p>
    <w:p w:rsidR="00C4577D" w:rsidRPr="00C4577D" w:rsidRDefault="00C4577D">
      <w:pPr>
        <w:pStyle w:val="snoskiline"/>
        <w:rPr>
          <w:lang w:val="ru-RU"/>
        </w:rPr>
      </w:pPr>
      <w:r w:rsidRPr="00C4577D">
        <w:rPr>
          <w:lang w:val="ru-RU"/>
        </w:rPr>
        <w:t>______________________________</w:t>
      </w:r>
    </w:p>
    <w:p w:rsidR="00C4577D" w:rsidRPr="00C4577D" w:rsidRDefault="00C4577D">
      <w:pPr>
        <w:pStyle w:val="snoski"/>
        <w:rPr>
          <w:lang w:val="ru-RU"/>
        </w:rPr>
      </w:pPr>
      <w:r w:rsidRPr="00C4577D">
        <w:rPr>
          <w:vertAlign w:val="superscript"/>
          <w:lang w:val="ru-RU"/>
        </w:rPr>
        <w:t>1</w:t>
      </w:r>
      <w:r>
        <w:rPr>
          <w:vertAlign w:val="superscript"/>
        </w:rPr>
        <w:t> </w:t>
      </w:r>
      <w:proofErr w:type="gramStart"/>
      <w:r w:rsidRPr="00C4577D">
        <w:rPr>
          <w:lang w:val="ru-RU"/>
        </w:rPr>
        <w:t>В</w:t>
      </w:r>
      <w:proofErr w:type="gramEnd"/>
      <w:r w:rsidRPr="00C4577D">
        <w:rPr>
          <w:lang w:val="ru-RU"/>
        </w:rPr>
        <w:t xml:space="preserve"> случае отчуждения на возмездной основе без проведения аукциона либо конкурса.</w:t>
      </w:r>
    </w:p>
    <w:p w:rsidR="00C4577D" w:rsidRPr="00C4577D" w:rsidRDefault="00C4577D">
      <w:pPr>
        <w:pStyle w:val="snoski"/>
        <w:spacing w:after="240"/>
        <w:rPr>
          <w:lang w:val="ru-RU"/>
        </w:rPr>
      </w:pPr>
      <w:r w:rsidRPr="00C4577D">
        <w:rPr>
          <w:vertAlign w:val="superscript"/>
          <w:lang w:val="ru-RU"/>
        </w:rPr>
        <w:t>2</w:t>
      </w:r>
      <w:r>
        <w:rPr>
          <w:vertAlign w:val="superscript"/>
        </w:rPr>
        <w:t> </w:t>
      </w:r>
      <w:r w:rsidRPr="00C4577D">
        <w:rPr>
          <w:lang w:val="ru-RU"/>
        </w:rPr>
        <w:t>При внесении имущества в уставный фонд юридического лица в виде неденежного вклада.</w:t>
      </w:r>
    </w:p>
    <w:p w:rsidR="00C4577D" w:rsidRPr="00C4577D" w:rsidRDefault="00C4577D">
      <w:pPr>
        <w:pStyle w:val="newncpi"/>
        <w:rPr>
          <w:lang w:val="ru-RU"/>
        </w:rPr>
      </w:pPr>
      <w:r>
        <w:t> </w:t>
      </w:r>
    </w:p>
    <w:p w:rsidR="001A2303" w:rsidRPr="00C4577D" w:rsidRDefault="001A2303">
      <w:pPr>
        <w:rPr>
          <w:lang w:val="ru-RU"/>
        </w:rPr>
      </w:pPr>
    </w:p>
    <w:sectPr w:rsidR="001A2303" w:rsidRPr="00C4577D" w:rsidSect="00C45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A9" w:rsidRDefault="00667DA9" w:rsidP="00C4577D">
      <w:pPr>
        <w:spacing w:after="0" w:line="240" w:lineRule="auto"/>
      </w:pPr>
      <w:r>
        <w:separator/>
      </w:r>
    </w:p>
  </w:endnote>
  <w:endnote w:type="continuationSeparator" w:id="0">
    <w:p w:rsidR="00667DA9" w:rsidRDefault="00667DA9" w:rsidP="00C4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7D" w:rsidRDefault="00C457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7D" w:rsidRDefault="00C457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C4577D" w:rsidRPr="00C4577D" w:rsidTr="00C4577D">
      <w:tc>
        <w:tcPr>
          <w:tcW w:w="1800" w:type="dxa"/>
          <w:shd w:val="clear" w:color="auto" w:fill="auto"/>
          <w:vAlign w:val="center"/>
        </w:tcPr>
        <w:p w:rsidR="00C4577D" w:rsidRDefault="00C4577D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C4577D" w:rsidRPr="00C4577D" w:rsidRDefault="00C4577D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C4577D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04.09.2023</w:t>
          </w:r>
        </w:p>
        <w:p w:rsidR="00C4577D" w:rsidRPr="00C4577D" w:rsidRDefault="00C4577D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C4577D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C4577D" w:rsidRPr="00C4577D" w:rsidRDefault="00C4577D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A9" w:rsidRDefault="00667DA9" w:rsidP="00C4577D">
      <w:pPr>
        <w:spacing w:after="0" w:line="240" w:lineRule="auto"/>
      </w:pPr>
      <w:r>
        <w:separator/>
      </w:r>
    </w:p>
  </w:footnote>
  <w:footnote w:type="continuationSeparator" w:id="0">
    <w:p w:rsidR="00667DA9" w:rsidRDefault="00667DA9" w:rsidP="00C4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7D" w:rsidRDefault="00C4577D" w:rsidP="005F49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4577D" w:rsidRDefault="00C457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7D" w:rsidRPr="00C4577D" w:rsidRDefault="00C4577D" w:rsidP="005F495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4577D">
      <w:rPr>
        <w:rStyle w:val="a7"/>
        <w:rFonts w:ascii="Times New Roman" w:hAnsi="Times New Roman" w:cs="Times New Roman"/>
        <w:sz w:val="24"/>
      </w:rPr>
      <w:fldChar w:fldCharType="begin"/>
    </w:r>
    <w:r w:rsidRPr="00C4577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C4577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C4577D">
      <w:rPr>
        <w:rStyle w:val="a7"/>
        <w:rFonts w:ascii="Times New Roman" w:hAnsi="Times New Roman" w:cs="Times New Roman"/>
        <w:sz w:val="24"/>
      </w:rPr>
      <w:fldChar w:fldCharType="end"/>
    </w:r>
  </w:p>
  <w:p w:rsidR="00C4577D" w:rsidRPr="00C4577D" w:rsidRDefault="00C4577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7D" w:rsidRDefault="00C45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7D"/>
    <w:rsid w:val="001A2303"/>
    <w:rsid w:val="00667DA9"/>
    <w:rsid w:val="00C4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F1B40-540D-4961-ADD6-5C9E072F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4577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C4577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457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457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C457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C457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4577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C4577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ppend1">
    <w:name w:val="append1"/>
    <w:basedOn w:val="a"/>
    <w:rsid w:val="00C4577D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C4577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4577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C4577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4577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4577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4577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4577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4577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457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77D"/>
  </w:style>
  <w:style w:type="paragraph" w:styleId="a5">
    <w:name w:val="footer"/>
    <w:basedOn w:val="a"/>
    <w:link w:val="a6"/>
    <w:uiPriority w:val="99"/>
    <w:unhideWhenUsed/>
    <w:rsid w:val="00C457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77D"/>
  </w:style>
  <w:style w:type="character" w:styleId="a7">
    <w:name w:val="page number"/>
    <w:basedOn w:val="a0"/>
    <w:uiPriority w:val="99"/>
    <w:semiHidden/>
    <w:unhideWhenUsed/>
    <w:rsid w:val="00C4577D"/>
  </w:style>
  <w:style w:type="table" w:styleId="a8">
    <w:name w:val="Table Grid"/>
    <w:basedOn w:val="a1"/>
    <w:uiPriority w:val="39"/>
    <w:rsid w:val="00C4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6171</Characters>
  <Application>Microsoft Office Word</Application>
  <DocSecurity>0</DocSecurity>
  <Lines>118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Хацулева Анна Александровна</dc:creator>
  <cp:keywords/>
  <dc:description/>
  <cp:lastModifiedBy>Хацулева Анна Александровна</cp:lastModifiedBy>
  <cp:revision>1</cp:revision>
  <dcterms:created xsi:type="dcterms:W3CDTF">2023-09-04T12:27:00Z</dcterms:created>
  <dcterms:modified xsi:type="dcterms:W3CDTF">2023-09-04T12:28:00Z</dcterms:modified>
</cp:coreProperties>
</file>