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9B" w:rsidRDefault="00EA199B">
      <w:pPr>
        <w:pStyle w:val="newncpi0"/>
        <w:jc w:val="center"/>
      </w:pPr>
      <w:bookmarkStart w:id="0" w:name="_GoBack"/>
      <w:bookmarkEnd w:id="0"/>
      <w:r>
        <w:rPr>
          <w:rStyle w:val="name"/>
        </w:rPr>
        <w:t>УКАЗ </w:t>
      </w:r>
      <w:r>
        <w:rPr>
          <w:rStyle w:val="promulgator"/>
        </w:rPr>
        <w:t>ПРЕЗИДЕНТА РЕСПУБЛИКИ БЕЛАРУСЬ</w:t>
      </w:r>
    </w:p>
    <w:p w:rsidR="00EA199B" w:rsidRDefault="00EA199B">
      <w:pPr>
        <w:pStyle w:val="newncpi"/>
        <w:ind w:firstLine="0"/>
        <w:jc w:val="center"/>
      </w:pPr>
      <w:r>
        <w:rPr>
          <w:rStyle w:val="datepr"/>
        </w:rPr>
        <w:t>31 декабря 2020 г.</w:t>
      </w:r>
      <w:r>
        <w:rPr>
          <w:rStyle w:val="number"/>
        </w:rPr>
        <w:t xml:space="preserve"> № 512</w:t>
      </w:r>
    </w:p>
    <w:p w:rsidR="00EA199B" w:rsidRDefault="00EA199B">
      <w:pPr>
        <w:pStyle w:val="titlencpi"/>
      </w:pPr>
      <w:r>
        <w:t>Об изменении Указа Президента Республики Беларусь</w:t>
      </w:r>
    </w:p>
    <w:p w:rsidR="00EA199B" w:rsidRDefault="00EA199B">
      <w:pPr>
        <w:pStyle w:val="point"/>
      </w:pPr>
      <w:r>
        <w:t>1. Внести в Указ Президента Республики Беларусь от 24 апреля 2020 г. № 143 «О поддержке экономики» следующие изменения:</w:t>
      </w:r>
    </w:p>
    <w:p w:rsidR="00EA199B" w:rsidRDefault="00EA199B">
      <w:pPr>
        <w:pStyle w:val="underpoint"/>
      </w:pPr>
      <w:r>
        <w:t>1.1. в пункте 2:</w:t>
      </w:r>
    </w:p>
    <w:p w:rsidR="00EA199B" w:rsidRDefault="00EA199B">
      <w:pPr>
        <w:pStyle w:val="newncpi"/>
      </w:pPr>
      <w:r>
        <w:t>в подпункте 2.1:</w:t>
      </w:r>
    </w:p>
    <w:p w:rsidR="00EA199B" w:rsidRDefault="00EA199B">
      <w:pPr>
        <w:pStyle w:val="newncpi"/>
      </w:pPr>
      <w:r>
        <w:t>в части первой слова «30 сентября» заменить словами «31 декабря»;</w:t>
      </w:r>
    </w:p>
    <w:p w:rsidR="00EA199B" w:rsidRDefault="00EA199B">
      <w:pPr>
        <w:pStyle w:val="newncpi"/>
      </w:pPr>
      <w:r>
        <w:t>после части второй дополнить подпункт частью следующего содержания:</w:t>
      </w:r>
    </w:p>
    <w:p w:rsidR="00EA199B" w:rsidRDefault="00EA199B">
      <w:pPr>
        <w:pStyle w:val="newncpi"/>
      </w:pPr>
      <w:r>
        <w:t>«Отсрочка может предоставляться по 31 декабря 2020 г., рассрочка и налоговый кредит – по 30 июня 2021 г.»;</w:t>
      </w:r>
    </w:p>
    <w:p w:rsidR="00EA199B" w:rsidRDefault="00EA199B">
      <w:pPr>
        <w:pStyle w:val="newncpi"/>
      </w:pPr>
      <w:r>
        <w:t>часть третью изложить в следующей редакции:</w:t>
      </w:r>
    </w:p>
    <w:p w:rsidR="00EA199B" w:rsidRDefault="00EA199B">
      <w:pPr>
        <w:pStyle w:val="newncpi"/>
      </w:pPr>
      <w:r>
        <w:t>«Уплата отсроченных, рассроченных платежей, налогового кредита осуществляется ежемесячно равными долями со дня предоставления рассрочки (наступления срока погашения налогового кредита) по 30 июня 2021 г.»;</w:t>
      </w:r>
    </w:p>
    <w:p w:rsidR="00EA199B" w:rsidRDefault="00EA199B">
      <w:pPr>
        <w:pStyle w:val="newncpi"/>
      </w:pPr>
      <w:r>
        <w:t>в подпункте 2.2, частях первой и второй подпункта 2.3 слова «II и III» заменить цифрами «II–IV»;</w:t>
      </w:r>
    </w:p>
    <w:p w:rsidR="00EA199B" w:rsidRDefault="00EA199B">
      <w:pPr>
        <w:pStyle w:val="newncpi"/>
      </w:pPr>
      <w:r>
        <w:t>в подпункте 2.4 слова «30 сентября 2020 г.» заменить словами «31 марта 2021 г.»;</w:t>
      </w:r>
    </w:p>
    <w:p w:rsidR="00EA199B" w:rsidRDefault="00EA199B">
      <w:pPr>
        <w:pStyle w:val="newncpi"/>
      </w:pPr>
      <w:r>
        <w:t>дополнить пункт подпунктом 2.11 следующего содержания:</w:t>
      </w:r>
    </w:p>
    <w:p w:rsidR="00EA199B" w:rsidRDefault="00EA199B">
      <w:pPr>
        <w:pStyle w:val="underpoint"/>
      </w:pPr>
      <w:r>
        <w:rPr>
          <w:rStyle w:val="rednoun"/>
        </w:rPr>
        <w:t>«</w:t>
      </w:r>
      <w:r>
        <w:t>2.11. организации по согласованию с собственниками имущества (учредителями, участниками) вправе принять решение о непроведении инвентаризации активов (за исключением финансовых активов) перед составлением бухгалтерской отчетности за 2020 год.</w:t>
      </w:r>
      <w:r>
        <w:rPr>
          <w:rStyle w:val="rednoun"/>
        </w:rPr>
        <w:t>»</w:t>
      </w:r>
      <w:r>
        <w:t>;</w:t>
      </w:r>
    </w:p>
    <w:p w:rsidR="00EA199B" w:rsidRDefault="00EA199B">
      <w:pPr>
        <w:pStyle w:val="underpoint"/>
      </w:pPr>
      <w:r>
        <w:t>1.2. в пункте 6:</w:t>
      </w:r>
    </w:p>
    <w:p w:rsidR="00EA199B" w:rsidRDefault="00EA199B">
      <w:pPr>
        <w:pStyle w:val="newncpi"/>
      </w:pPr>
      <w:r>
        <w:t>абзац первый изложить в следующей редакции:</w:t>
      </w:r>
    </w:p>
    <w:p w:rsidR="00EA199B" w:rsidRDefault="00EA199B">
      <w:pPr>
        <w:pStyle w:val="point"/>
      </w:pPr>
      <w:r>
        <w:rPr>
          <w:rStyle w:val="rednoun"/>
        </w:rPr>
        <w:t>«</w:t>
      </w:r>
      <w:r>
        <w:t>6. Предоставить отсрочку исполнения обязательств по текущим платежам за периоды по 30 сентября 2020 г., а также с 1 января по 30 июня 2021 г.:</w:t>
      </w:r>
      <w:r>
        <w:rPr>
          <w:rStyle w:val="rednoun"/>
        </w:rPr>
        <w:t>»</w:t>
      </w:r>
      <w:r>
        <w:t>;</w:t>
      </w:r>
    </w:p>
    <w:p w:rsidR="00EA199B" w:rsidRDefault="00EA199B">
      <w:pPr>
        <w:pStyle w:val="newncpi"/>
      </w:pPr>
      <w:r>
        <w:t>подпункт 6.1 после слов «осуществляющим» и «оказывающим» дополнить соответственно словами «на арендуемых площадях» и «на таких площадях»;</w:t>
      </w:r>
    </w:p>
    <w:p w:rsidR="00EA199B" w:rsidRDefault="00EA199B">
      <w:pPr>
        <w:pStyle w:val="newncpi"/>
      </w:pPr>
      <w:r>
        <w:t>подпункт 6.2 после слов «осуществляющим» и «оказывающим» дополнить соответственно словами «на площадях, переданных в безвозмездное пользование,» и «на таких площадях»;</w:t>
      </w:r>
    </w:p>
    <w:p w:rsidR="00EA199B" w:rsidRDefault="00EA199B">
      <w:pPr>
        <w:pStyle w:val="underpoint"/>
      </w:pPr>
      <w:r>
        <w:t>1.3. в пункте 7:</w:t>
      </w:r>
    </w:p>
    <w:p w:rsidR="00EA199B" w:rsidRDefault="00EA199B">
      <w:pPr>
        <w:pStyle w:val="newncpi"/>
      </w:pPr>
      <w:r>
        <w:t>часть первую изложить в следующей редакции:</w:t>
      </w:r>
    </w:p>
    <w:p w:rsidR="00EA199B" w:rsidRDefault="00EA199B">
      <w:pPr>
        <w:pStyle w:val="point"/>
      </w:pPr>
      <w:r>
        <w:rPr>
          <w:rStyle w:val="rednoun"/>
        </w:rPr>
        <w:t>«</w:t>
      </w:r>
      <w:r>
        <w:t>7. Отсрочка исполнения обязательств, названных в пункте 6 настоящего Указа и части пятой настоящего пункта, предоставляется соответственно за периоды:</w:t>
      </w:r>
    </w:p>
    <w:p w:rsidR="00EA199B" w:rsidRDefault="00EA199B">
      <w:pPr>
        <w:pStyle w:val="newncpi"/>
      </w:pPr>
      <w:r>
        <w:t>с 1 апреля по 30 сентября 2020 г. с последующей рассрочкой исполнения обязательств с 1 января по 30 июня 2021 г.;</w:t>
      </w:r>
    </w:p>
    <w:p w:rsidR="00EA199B" w:rsidRDefault="00EA199B">
      <w:pPr>
        <w:pStyle w:val="newncpi"/>
      </w:pPr>
      <w:r>
        <w:t>с 1 января по 30 июня 2021 г. с последующей рассрочкой исполнения обязательств с 1 июля по 31 декабря 2021 г.</w:t>
      </w:r>
      <w:r>
        <w:rPr>
          <w:rStyle w:val="rednoun"/>
        </w:rPr>
        <w:t>»</w:t>
      </w:r>
      <w:r>
        <w:t>;</w:t>
      </w:r>
    </w:p>
    <w:p w:rsidR="00EA199B" w:rsidRDefault="00EA199B">
      <w:pPr>
        <w:pStyle w:val="newncpi"/>
      </w:pPr>
      <w:r>
        <w:t>после части первой дополнить пункт частью следующего содержания:</w:t>
      </w:r>
    </w:p>
    <w:p w:rsidR="00EA199B" w:rsidRDefault="00EA199B">
      <w:pPr>
        <w:pStyle w:val="newncpi"/>
      </w:pPr>
      <w:r>
        <w:t>«За октябрь–декабрь 2020 г. арендаторами уплачивается начисленная арендная плата, а ссудополучателями возмещаются ссудодателю расходы, названные в подпункте 6.2 пункта 6 настоящего Указа, в установленные договором аренды (безвозмездного пользования) сроки.»;</w:t>
      </w:r>
    </w:p>
    <w:p w:rsidR="00EA199B" w:rsidRDefault="00EA199B">
      <w:pPr>
        <w:pStyle w:val="newncpi"/>
      </w:pPr>
      <w:r>
        <w:t>в части второй слова «срока, предусмотренного» заменить словами «сроков, предусмотренных»;</w:t>
      </w:r>
    </w:p>
    <w:p w:rsidR="00EA199B" w:rsidRDefault="00EA199B">
      <w:pPr>
        <w:pStyle w:val="newncpi"/>
      </w:pPr>
      <w:r>
        <w:t>часть четвертую изложить в следующей редакции:</w:t>
      </w:r>
    </w:p>
    <w:p w:rsidR="00EA199B" w:rsidRDefault="00EA199B">
      <w:pPr>
        <w:pStyle w:val="newncpi"/>
      </w:pPr>
      <w:r>
        <w:t>«В случае предоставления отсрочки в соответствии с пунктом 6 настоящего Указа арендодателям (ссудодателям) недвижимого имущества предоставляются отсрочка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w:t>
      </w:r>
    </w:p>
    <w:p w:rsidR="00EA199B" w:rsidRDefault="00EA199B">
      <w:pPr>
        <w:pStyle w:val="underpoint"/>
      </w:pPr>
      <w:r>
        <w:t>1.4. в пункте 8:</w:t>
      </w:r>
    </w:p>
    <w:p w:rsidR="00EA199B" w:rsidRDefault="00EA199B">
      <w:pPr>
        <w:pStyle w:val="newncpi"/>
      </w:pPr>
      <w:r>
        <w:t>часть первую после слов «сентября 2020 г.» дополнить словами «, а также за период с 1 января по 30 июня 2021 г.»;</w:t>
      </w:r>
    </w:p>
    <w:p w:rsidR="00EA199B" w:rsidRDefault="00EA199B">
      <w:pPr>
        <w:pStyle w:val="newncpi"/>
      </w:pPr>
      <w:r>
        <w:t>часть вторую изложить в следующей редакции:</w:t>
      </w:r>
    </w:p>
    <w:p w:rsidR="00EA199B" w:rsidRDefault="00EA199B">
      <w:pPr>
        <w:pStyle w:val="newncpi"/>
      </w:pPr>
      <w:r>
        <w:t>«Отсрочка предоставляется покупателю по его заявлению на срок, указанный в таком заявлении, в пределах сроков, предусмотренных в части первой настоящего пункта, соответственно за периоды:</w:t>
      </w:r>
    </w:p>
    <w:p w:rsidR="00EA199B" w:rsidRDefault="00EA199B">
      <w:pPr>
        <w:pStyle w:val="newncpi"/>
      </w:pPr>
      <w:r>
        <w:t>с 1 апреля по 30 сентября 2020 г. с последующей рассрочкой исполнения обязательств с 1 января по 30 июня 2021 г.;</w:t>
      </w:r>
    </w:p>
    <w:p w:rsidR="00EA199B" w:rsidRDefault="00EA199B">
      <w:pPr>
        <w:pStyle w:val="newncpi"/>
      </w:pPr>
      <w:r>
        <w:t>с 1 января по 30 июня 2021 г. с последующей рассрочкой исполнения обязательств с 1 июля по 31 декабря 2021 г.»;</w:t>
      </w:r>
    </w:p>
    <w:p w:rsidR="00EA199B" w:rsidRDefault="00EA199B">
      <w:pPr>
        <w:pStyle w:val="newncpi"/>
      </w:pPr>
      <w:r>
        <w:t>дополнить пункт частью следующего содержания:</w:t>
      </w:r>
    </w:p>
    <w:p w:rsidR="00EA199B" w:rsidRDefault="00EA199B">
      <w:pPr>
        <w:pStyle w:val="newncpi"/>
      </w:pPr>
      <w:r>
        <w:t>«За октябрь–декабрь 2020 г. оплата за государственное имущество осуществляется покупателями в размере ежемесячного платежа, определенного в договоре купли-продажи.»;</w:t>
      </w:r>
    </w:p>
    <w:p w:rsidR="00EA199B" w:rsidRDefault="00EA199B">
      <w:pPr>
        <w:pStyle w:val="underpoint"/>
      </w:pPr>
      <w:r>
        <w:t>1.5. пункт 9 дополнить частью следующего содержания:</w:t>
      </w:r>
    </w:p>
    <w:p w:rsidR="00EA199B" w:rsidRDefault="00EA199B">
      <w:pPr>
        <w:pStyle w:val="newncpi"/>
      </w:pPr>
      <w:r>
        <w:t>«Суммы, уплаченные с 1 октября по 31 декабря 2020 г. в счет погашения платежей, отсроченных (рассроченных) в соответствии с пунктами 6–8 настоящего Указа, засчитываются в счет досрочного погашения таких платежей.»;</w:t>
      </w:r>
    </w:p>
    <w:p w:rsidR="00EA199B" w:rsidRDefault="00EA199B">
      <w:pPr>
        <w:pStyle w:val="underpoint"/>
      </w:pPr>
      <w:r>
        <w:t>1.6. в пункте 10:</w:t>
      </w:r>
    </w:p>
    <w:p w:rsidR="00EA199B" w:rsidRDefault="00EA199B">
      <w:pPr>
        <w:pStyle w:val="newncpi"/>
      </w:pPr>
      <w:r>
        <w:t>слова «до 30 сентября 2020 г.» заменить словами «по 31 марта 2022 г.»;</w:t>
      </w:r>
    </w:p>
    <w:p w:rsidR="00EA199B" w:rsidRDefault="00EA199B">
      <w:pPr>
        <w:pStyle w:val="newncpi"/>
      </w:pPr>
      <w:r>
        <w:t>дополнить пункт частью следующего содержания:</w:t>
      </w:r>
    </w:p>
    <w:p w:rsidR="00EA199B" w:rsidRDefault="00EA199B">
      <w:pPr>
        <w:pStyle w:val="newncpi"/>
      </w:pPr>
      <w:r>
        <w:t>«В случае уплаты арендной платы за октябрь–декабрь 2020 г. без учета части первой настоящего пункта излишне уплаченные суммы засчитываются в счет будущих платежей.»;</w:t>
      </w:r>
    </w:p>
    <w:p w:rsidR="00EA199B" w:rsidRDefault="00EA199B">
      <w:pPr>
        <w:pStyle w:val="underpoint"/>
      </w:pPr>
      <w:r>
        <w:t>1.7. пункт 12 изложить в следующей редакции:</w:t>
      </w:r>
    </w:p>
    <w:p w:rsidR="00EA199B" w:rsidRDefault="00EA199B">
      <w:pPr>
        <w:pStyle w:val="point"/>
      </w:pPr>
      <w:r>
        <w:rPr>
          <w:rStyle w:val="rednoun"/>
        </w:rPr>
        <w:t>«</w:t>
      </w:r>
      <w:r>
        <w:t>12. При предоставлении арендодателем отсрочки по оплате арендной платы за недвижимое имущество* в соответствии с подпунктом 6.1 пункта 6 или пунктом 11 настоящего Указа днем сдачи арендодателем в аренду такого недвижимого имущества для целей исчисления налога на добавленную стоимость признается:</w:t>
      </w:r>
    </w:p>
    <w:p w:rsidR="00EA199B" w:rsidRDefault="00EA199B">
      <w:pPr>
        <w:pStyle w:val="newncpi"/>
      </w:pPr>
      <w:r>
        <w:t>31 декабря 2020 г., если день сдачи такого недвижимого имущества в аренду приходится на период с 1 апреля по 30 сентября 2020 г.;</w:t>
      </w:r>
    </w:p>
    <w:p w:rsidR="00EA199B" w:rsidRDefault="00EA199B">
      <w:pPr>
        <w:pStyle w:val="newncpi"/>
      </w:pPr>
      <w:r>
        <w:t>31 декабря 2021 г., если день сдачи такого недвижимого имущества в аренду приходится на период с 1 января по 30 июня 2021 г.</w:t>
      </w:r>
    </w:p>
    <w:p w:rsidR="00EA199B" w:rsidRDefault="00EA199B">
      <w:pPr>
        <w:pStyle w:val="snoskiline"/>
      </w:pPr>
      <w:r>
        <w:t>______________________________</w:t>
      </w:r>
    </w:p>
    <w:p w:rsidR="00EA199B" w:rsidRDefault="00EA199B">
      <w:pPr>
        <w:pStyle w:val="snoski"/>
        <w:spacing w:after="240"/>
      </w:pPr>
      <w:r>
        <w:t>* Для целей настоящего пункта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w:t>
      </w:r>
      <w:r>
        <w:rPr>
          <w:rStyle w:val="rednoun"/>
        </w:rPr>
        <w:t>»</w:t>
      </w:r>
      <w:r>
        <w:t>;</w:t>
      </w:r>
    </w:p>
    <w:p w:rsidR="00EA199B" w:rsidRDefault="00EA199B">
      <w:pPr>
        <w:pStyle w:val="underpoint"/>
      </w:pPr>
      <w:r>
        <w:t>1.8. пункт 14 дополнить абзацами следующего содержания:</w:t>
      </w:r>
    </w:p>
    <w:p w:rsidR="00EA199B" w:rsidRDefault="00EA199B">
      <w:pPr>
        <w:pStyle w:val="newncpi"/>
      </w:pPr>
      <w:r>
        <w:t>«объявлять простой, вызванный неблагоприятным воздействием эпидемиологической ситуации на деятельность нанимателя, без ограничения общей продолжительности в течение календарного года. При этом нахождение работника в простое, общая продолжительность которого превышает суммарно шесть месяцев в течение календарного года, является уважительной причиной для досрочного расторжения по требованию работника срочного трудового договора (контракта) в период простоя;</w:t>
      </w:r>
    </w:p>
    <w:p w:rsidR="00EA199B" w:rsidRDefault="00EA199B">
      <w:pPr>
        <w:pStyle w:val="newncpi"/>
      </w:pPr>
      <w:r>
        <w:t>предоставлять работнику с его согласия отпуск для нахождения в режиме самоизоляции в месте, которое определяется нанимателем. Продолжительность отпуска определяется по соглашению сторон трудового договора. За период отпуска работнику сохраняется заработная плата в размере не ниже установленной тарифной ставки (тарифного оклада), оклада, если иное не установлено коллективным договором, соглашением;</w:t>
      </w:r>
    </w:p>
    <w:p w:rsidR="00EA199B" w:rsidRDefault="00EA199B">
      <w:pPr>
        <w:pStyle w:val="newncpi"/>
      </w:pPr>
      <w:r>
        <w:t>устанавливать при производстве работы вахтовым методом санитарам (санитаркам) и няням государственных учреждений социального обслуживания, осуществляющих стационарное социальное обслуживание, продолжительность выполняемой ими работы сверх продолжительности рабочего времени по основной работе, не превышающую 900 часов в год;</w:t>
      </w:r>
    </w:p>
    <w:p w:rsidR="00EA199B" w:rsidRDefault="00EA199B">
      <w:pPr>
        <w:pStyle w:val="newncpi"/>
      </w:pPr>
      <w:r>
        <w:t>включать в рабочий год, за который предоставляется трудовой отпуск, время предусмотренных законодательством отпусков без сохранения заработной платы, предоставляемых по инициативе нанимателя, без ограничения их продолжительности;</w:t>
      </w:r>
    </w:p>
    <w:p w:rsidR="00EA199B" w:rsidRDefault="00EA199B">
      <w:pPr>
        <w:pStyle w:val="newncpi"/>
      </w:pPr>
      <w:r>
        <w:t>освобождать работника от работы в связи с его болезненным состоянием на срок до трех календарных дней суммарно в течение срока действия настоящего Указа без предоставления работником листка нетрудоспособности. Сохранение среднего заработка за период освобождения от работы может быть предусмотрено коллективным договором, иным локальным правовым актом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A199B" w:rsidRDefault="00EA199B">
      <w:pPr>
        <w:pStyle w:val="underpoint"/>
      </w:pPr>
      <w:r>
        <w:t>1.9. в части первой пункта 16 цифры «2020» заменить цифрами «2021»;</w:t>
      </w:r>
    </w:p>
    <w:p w:rsidR="00EA199B" w:rsidRDefault="00EA199B">
      <w:pPr>
        <w:pStyle w:val="underpoint"/>
      </w:pPr>
      <w:r>
        <w:t>1.10. в пункте 20:</w:t>
      </w:r>
    </w:p>
    <w:p w:rsidR="00EA199B" w:rsidRDefault="00EA199B">
      <w:pPr>
        <w:pStyle w:val="newncpi"/>
      </w:pPr>
      <w:r>
        <w:t>абзац четвертый части первой изложить в следующей редакции:</w:t>
      </w:r>
    </w:p>
    <w:p w:rsidR="00EA199B" w:rsidRDefault="00EA199B">
      <w:pPr>
        <w:pStyle w:val="newncpi"/>
      </w:pPr>
      <w:r>
        <w:t>«требований технических регламентов Таможенного союза, Евразийского экономического союза, в том числе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Председателем Государственного комитета по стандартизации.»;</w:t>
      </w:r>
    </w:p>
    <w:p w:rsidR="00EA199B" w:rsidRDefault="00EA199B">
      <w:pPr>
        <w:pStyle w:val="newncpi"/>
      </w:pPr>
      <w:r>
        <w:t>в части третьей:</w:t>
      </w:r>
    </w:p>
    <w:p w:rsidR="00EA199B" w:rsidRDefault="00EA199B">
      <w:pPr>
        <w:pStyle w:val="newncpi"/>
      </w:pPr>
      <w:r>
        <w:t>абзац первый после слова «питания» дополнить словом «, интернет-магазина»;</w:t>
      </w:r>
    </w:p>
    <w:p w:rsidR="00EA199B" w:rsidRDefault="00EA199B">
      <w:pPr>
        <w:pStyle w:val="newncpi"/>
      </w:pPr>
      <w:r>
        <w:t>абзац четвертый изложить в следующей редакции:</w:t>
      </w:r>
    </w:p>
    <w:p w:rsidR="00EA199B" w:rsidRDefault="00EA199B">
      <w:pPr>
        <w:pStyle w:val="newncpi"/>
      </w:pPr>
      <w:r>
        <w:t>«требований технических регламентов Таможенного союза, Евразийского экономического союза, в том числе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Председателю Государственного комитета по стандартизации.»;</w:t>
      </w:r>
    </w:p>
    <w:p w:rsidR="00EA199B" w:rsidRDefault="00EA199B">
      <w:pPr>
        <w:pStyle w:val="newncpi"/>
      </w:pPr>
      <w:r>
        <w:t>часть четвертую после слова «питания» дополнить словом «, интернет-магазинов»;</w:t>
      </w:r>
    </w:p>
    <w:p w:rsidR="00EA199B" w:rsidRDefault="00EA199B">
      <w:pPr>
        <w:pStyle w:val="underpoint"/>
      </w:pPr>
      <w:r>
        <w:t>1.11. в части второй пункта 27 цифры «2021» заменить цифрами «2022»;</w:t>
      </w:r>
    </w:p>
    <w:p w:rsidR="00EA199B" w:rsidRDefault="00EA199B">
      <w:pPr>
        <w:pStyle w:val="underpoint"/>
      </w:pPr>
      <w:r>
        <w:t>1.12. приложение после позиции</w:t>
      </w:r>
    </w:p>
    <w:p w:rsidR="00EA199B" w:rsidRDefault="00EA199B">
      <w:pPr>
        <w:pStyle w:val="newncpi"/>
      </w:pPr>
      <w:r>
        <w:t> </w:t>
      </w:r>
    </w:p>
    <w:tbl>
      <w:tblPr>
        <w:tblW w:w="5000" w:type="pct"/>
        <w:tblCellMar>
          <w:left w:w="0" w:type="dxa"/>
          <w:right w:w="0" w:type="dxa"/>
        </w:tblCellMar>
        <w:tblLook w:val="04A0" w:firstRow="1" w:lastRow="0" w:firstColumn="1" w:lastColumn="0" w:noHBand="0" w:noVBand="1"/>
      </w:tblPr>
      <w:tblGrid>
        <w:gridCol w:w="2977"/>
        <w:gridCol w:w="6380"/>
      </w:tblGrid>
      <w:tr w:rsidR="00EA199B">
        <w:trPr>
          <w:trHeight w:val="240"/>
        </w:trPr>
        <w:tc>
          <w:tcPr>
            <w:tcW w:w="1591" w:type="pct"/>
            <w:tcMar>
              <w:top w:w="0" w:type="dxa"/>
              <w:left w:w="6" w:type="dxa"/>
              <w:bottom w:w="0" w:type="dxa"/>
              <w:right w:w="6" w:type="dxa"/>
            </w:tcMar>
            <w:hideMark/>
          </w:tcPr>
          <w:p w:rsidR="00EA199B" w:rsidRDefault="00EA199B">
            <w:pPr>
              <w:pStyle w:val="table10"/>
              <w:spacing w:before="120"/>
            </w:pPr>
            <w:r>
              <w:t>«563</w:t>
            </w:r>
          </w:p>
        </w:tc>
        <w:tc>
          <w:tcPr>
            <w:tcW w:w="3409" w:type="pct"/>
            <w:tcMar>
              <w:top w:w="0" w:type="dxa"/>
              <w:left w:w="6" w:type="dxa"/>
              <w:bottom w:w="0" w:type="dxa"/>
              <w:right w:w="6" w:type="dxa"/>
            </w:tcMar>
            <w:hideMark/>
          </w:tcPr>
          <w:p w:rsidR="00EA199B" w:rsidRDefault="00EA199B">
            <w:pPr>
              <w:pStyle w:val="table10"/>
              <w:spacing w:before="120"/>
            </w:pPr>
            <w:r>
              <w:t>деятельность баров»</w:t>
            </w:r>
          </w:p>
        </w:tc>
      </w:tr>
    </w:tbl>
    <w:p w:rsidR="00EA199B" w:rsidRDefault="00EA199B">
      <w:pPr>
        <w:pStyle w:val="newncpi"/>
      </w:pPr>
      <w:r>
        <w:t> </w:t>
      </w:r>
    </w:p>
    <w:p w:rsidR="00EA199B" w:rsidRDefault="00EA199B">
      <w:pPr>
        <w:pStyle w:val="newncpi0"/>
      </w:pPr>
      <w:r>
        <w:t>дополнить позициями:</w:t>
      </w:r>
    </w:p>
    <w:p w:rsidR="00EA199B" w:rsidRDefault="00EA199B">
      <w:pPr>
        <w:pStyle w:val="newncpi"/>
      </w:pPr>
      <w:r>
        <w:t> </w:t>
      </w:r>
    </w:p>
    <w:tbl>
      <w:tblPr>
        <w:tblW w:w="5000" w:type="pct"/>
        <w:tblCellMar>
          <w:left w:w="0" w:type="dxa"/>
          <w:right w:w="0" w:type="dxa"/>
        </w:tblCellMar>
        <w:tblLook w:val="04A0" w:firstRow="1" w:lastRow="0" w:firstColumn="1" w:lastColumn="0" w:noHBand="0" w:noVBand="1"/>
      </w:tblPr>
      <w:tblGrid>
        <w:gridCol w:w="2977"/>
        <w:gridCol w:w="6380"/>
      </w:tblGrid>
      <w:tr w:rsidR="00EA199B">
        <w:trPr>
          <w:trHeight w:val="240"/>
        </w:trPr>
        <w:tc>
          <w:tcPr>
            <w:tcW w:w="1591" w:type="pct"/>
            <w:tcMar>
              <w:top w:w="0" w:type="dxa"/>
              <w:left w:w="6" w:type="dxa"/>
              <w:bottom w:w="0" w:type="dxa"/>
              <w:right w:w="6" w:type="dxa"/>
            </w:tcMar>
            <w:hideMark/>
          </w:tcPr>
          <w:p w:rsidR="00EA199B" w:rsidRDefault="00EA199B">
            <w:pPr>
              <w:pStyle w:val="table10"/>
              <w:spacing w:before="120"/>
            </w:pPr>
            <w:r>
              <w:t>«СЕКЦИЯ J</w:t>
            </w:r>
          </w:p>
        </w:tc>
        <w:tc>
          <w:tcPr>
            <w:tcW w:w="3409" w:type="pct"/>
            <w:tcMar>
              <w:top w:w="0" w:type="dxa"/>
              <w:left w:w="6" w:type="dxa"/>
              <w:bottom w:w="0" w:type="dxa"/>
              <w:right w:w="6" w:type="dxa"/>
            </w:tcMar>
            <w:hideMark/>
          </w:tcPr>
          <w:p w:rsidR="00EA199B" w:rsidRDefault="00EA199B">
            <w:pPr>
              <w:pStyle w:val="table10"/>
              <w:spacing w:before="120"/>
            </w:pPr>
            <w:r>
              <w:t>ИНФОРМАЦИЯ И СВЯЗЬ</w:t>
            </w:r>
          </w:p>
        </w:tc>
      </w:tr>
      <w:tr w:rsidR="00EA199B">
        <w:trPr>
          <w:trHeight w:val="240"/>
        </w:trPr>
        <w:tc>
          <w:tcPr>
            <w:tcW w:w="1591" w:type="pct"/>
            <w:tcMar>
              <w:top w:w="0" w:type="dxa"/>
              <w:left w:w="6" w:type="dxa"/>
              <w:bottom w:w="0" w:type="dxa"/>
              <w:right w:w="6" w:type="dxa"/>
            </w:tcMar>
            <w:hideMark/>
          </w:tcPr>
          <w:p w:rsidR="00EA199B" w:rsidRDefault="00EA199B">
            <w:pPr>
              <w:pStyle w:val="table10"/>
              <w:spacing w:before="120"/>
            </w:pPr>
            <w:r>
              <w:t>ПОДСЕКЦИЯ JA</w:t>
            </w:r>
          </w:p>
        </w:tc>
        <w:tc>
          <w:tcPr>
            <w:tcW w:w="3409" w:type="pct"/>
            <w:tcMar>
              <w:top w:w="0" w:type="dxa"/>
              <w:left w:w="6" w:type="dxa"/>
              <w:bottom w:w="0" w:type="dxa"/>
              <w:right w:w="6" w:type="dxa"/>
            </w:tcMar>
            <w:hideMark/>
          </w:tcPr>
          <w:p w:rsidR="00EA199B" w:rsidRDefault="00EA199B">
            <w:pPr>
              <w:pStyle w:val="table10"/>
              <w:spacing w:before="120"/>
            </w:pPr>
            <w:r>
              <w:t>ИЗДАТЕЛЬСКАЯ ДЕЯТЕЛЬНОСТЬ, ДЕЯТЕЛЬНОСТЬ В СФЕРЕ АУДИО- И ВИДЕОЗАПИСИ, ВОСПРОИЗВЕДЕНИЯ И ВЕЩАНИЯ</w:t>
            </w:r>
          </w:p>
        </w:tc>
      </w:tr>
      <w:tr w:rsidR="00EA199B">
        <w:trPr>
          <w:trHeight w:val="240"/>
        </w:trPr>
        <w:tc>
          <w:tcPr>
            <w:tcW w:w="1591" w:type="pct"/>
            <w:tcMar>
              <w:top w:w="0" w:type="dxa"/>
              <w:left w:w="6" w:type="dxa"/>
              <w:bottom w:w="0" w:type="dxa"/>
              <w:right w:w="6" w:type="dxa"/>
            </w:tcMar>
            <w:hideMark/>
          </w:tcPr>
          <w:p w:rsidR="00EA199B" w:rsidRDefault="00EA199B">
            <w:pPr>
              <w:pStyle w:val="table10"/>
              <w:spacing w:before="120"/>
            </w:pPr>
            <w:r>
              <w:t>59</w:t>
            </w:r>
          </w:p>
        </w:tc>
        <w:tc>
          <w:tcPr>
            <w:tcW w:w="3409" w:type="pct"/>
            <w:tcMar>
              <w:top w:w="0" w:type="dxa"/>
              <w:left w:w="6" w:type="dxa"/>
              <w:bottom w:w="0" w:type="dxa"/>
              <w:right w:w="6" w:type="dxa"/>
            </w:tcMar>
            <w:hideMark/>
          </w:tcPr>
          <w:p w:rsidR="00EA199B" w:rsidRDefault="00EA199B">
            <w:pPr>
              <w:pStyle w:val="table10"/>
              <w:spacing w:before="120"/>
            </w:pPr>
            <w:r>
              <w:t>ПРОИЗВОДСТВО КИНО-, ВИДЕОФИЛЬМОВ И ТЕЛЕВИЗИОННЫХ ПРОГРАММ, ДЕЯТЕЛЬНОСТЬ В СФЕРЕ ЗВУКОЗАПИСИ И ИЗДАНИЯ МУЗЫКАЛЬНЫХ ПРОИЗВЕДЕНИЙ</w:t>
            </w:r>
          </w:p>
        </w:tc>
      </w:tr>
      <w:tr w:rsidR="00EA199B">
        <w:trPr>
          <w:trHeight w:val="240"/>
        </w:trPr>
        <w:tc>
          <w:tcPr>
            <w:tcW w:w="1591" w:type="pct"/>
            <w:tcMar>
              <w:top w:w="0" w:type="dxa"/>
              <w:left w:w="6" w:type="dxa"/>
              <w:bottom w:w="0" w:type="dxa"/>
              <w:right w:w="6" w:type="dxa"/>
            </w:tcMar>
            <w:hideMark/>
          </w:tcPr>
          <w:p w:rsidR="00EA199B" w:rsidRDefault="00EA199B">
            <w:pPr>
              <w:pStyle w:val="table10"/>
              <w:spacing w:before="120"/>
            </w:pPr>
            <w:r>
              <w:t>5914</w:t>
            </w:r>
          </w:p>
        </w:tc>
        <w:tc>
          <w:tcPr>
            <w:tcW w:w="3409" w:type="pct"/>
            <w:tcMar>
              <w:top w:w="0" w:type="dxa"/>
              <w:left w:w="6" w:type="dxa"/>
              <w:bottom w:w="0" w:type="dxa"/>
              <w:right w:w="6" w:type="dxa"/>
            </w:tcMar>
            <w:hideMark/>
          </w:tcPr>
          <w:p w:rsidR="00EA199B" w:rsidRDefault="00EA199B">
            <w:pPr>
              <w:pStyle w:val="table10"/>
              <w:spacing w:before="120"/>
            </w:pPr>
            <w:r>
              <w:t>деятельность по показу кинофильмов».</w:t>
            </w:r>
          </w:p>
        </w:tc>
      </w:tr>
    </w:tbl>
    <w:p w:rsidR="00EA199B" w:rsidRDefault="00EA199B">
      <w:pPr>
        <w:pStyle w:val="newncpi"/>
      </w:pPr>
      <w:r>
        <w:t> </w:t>
      </w:r>
    </w:p>
    <w:p w:rsidR="00EA199B" w:rsidRDefault="00EA199B">
      <w:pPr>
        <w:pStyle w:val="point"/>
      </w:pPr>
      <w:r>
        <w:t>2. Настоящий Указ вступает в силу после его официального опубликования.</w:t>
      </w:r>
    </w:p>
    <w:p w:rsidR="00EA199B" w:rsidRDefault="00EA199B">
      <w:pPr>
        <w:pStyle w:val="newncpi"/>
      </w:pPr>
      <w:r>
        <w:t>Действие подпунктов 1.1–1.6, 1.12 пункта 1 настоящего Указа распространяется на отношения, возникшие с 1 октября 2020 г.</w:t>
      </w:r>
    </w:p>
    <w:p w:rsidR="00EA199B" w:rsidRDefault="00EA199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A199B">
        <w:tc>
          <w:tcPr>
            <w:tcW w:w="2500" w:type="pct"/>
            <w:tcMar>
              <w:top w:w="0" w:type="dxa"/>
              <w:left w:w="6" w:type="dxa"/>
              <w:bottom w:w="0" w:type="dxa"/>
              <w:right w:w="6" w:type="dxa"/>
            </w:tcMar>
            <w:vAlign w:val="bottom"/>
            <w:hideMark/>
          </w:tcPr>
          <w:p w:rsidR="00EA199B" w:rsidRDefault="00EA199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A199B" w:rsidRDefault="00EA199B">
            <w:pPr>
              <w:pStyle w:val="newncpi0"/>
              <w:jc w:val="right"/>
            </w:pPr>
            <w:r>
              <w:rPr>
                <w:rStyle w:val="pers"/>
              </w:rPr>
              <w:t>А.Лукашенко</w:t>
            </w:r>
          </w:p>
        </w:tc>
      </w:tr>
    </w:tbl>
    <w:p w:rsidR="00EA199B" w:rsidRDefault="00EA199B">
      <w:pPr>
        <w:pStyle w:val="newncpi"/>
      </w:pPr>
      <w:r>
        <w:t> </w:t>
      </w:r>
    </w:p>
    <w:p w:rsidR="00806B2D" w:rsidRDefault="00806B2D"/>
    <w:sectPr w:rsidR="00806B2D" w:rsidSect="00EA199B">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9B" w:rsidRDefault="00EA199B" w:rsidP="00EA199B">
      <w:pPr>
        <w:spacing w:after="0" w:line="240" w:lineRule="auto"/>
      </w:pPr>
      <w:r>
        <w:separator/>
      </w:r>
    </w:p>
  </w:endnote>
  <w:endnote w:type="continuationSeparator" w:id="0">
    <w:p w:rsidR="00EA199B" w:rsidRDefault="00EA199B" w:rsidP="00EA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9B" w:rsidRDefault="00EA199B" w:rsidP="00EA199B">
      <w:pPr>
        <w:spacing w:after="0" w:line="240" w:lineRule="auto"/>
      </w:pPr>
      <w:r>
        <w:separator/>
      </w:r>
    </w:p>
  </w:footnote>
  <w:footnote w:type="continuationSeparator" w:id="0">
    <w:p w:rsidR="00EA199B" w:rsidRDefault="00EA199B" w:rsidP="00EA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9B" w:rsidRDefault="00EA199B" w:rsidP="00BC2CE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A199B" w:rsidRDefault="00EA199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9B" w:rsidRPr="00EA199B" w:rsidRDefault="00EA199B" w:rsidP="00BC2CED">
    <w:pPr>
      <w:pStyle w:val="a3"/>
      <w:framePr w:wrap="around" w:vAnchor="text" w:hAnchor="margin" w:xAlign="center" w:y="1"/>
      <w:rPr>
        <w:rStyle w:val="a7"/>
        <w:rFonts w:ascii="Times New Roman" w:hAnsi="Times New Roman" w:cs="Times New Roman"/>
        <w:sz w:val="24"/>
      </w:rPr>
    </w:pPr>
    <w:r w:rsidRPr="00EA199B">
      <w:rPr>
        <w:rStyle w:val="a7"/>
        <w:rFonts w:ascii="Times New Roman" w:hAnsi="Times New Roman" w:cs="Times New Roman"/>
        <w:sz w:val="24"/>
      </w:rPr>
      <w:fldChar w:fldCharType="begin"/>
    </w:r>
    <w:r w:rsidRPr="00EA199B">
      <w:rPr>
        <w:rStyle w:val="a7"/>
        <w:rFonts w:ascii="Times New Roman" w:hAnsi="Times New Roman" w:cs="Times New Roman"/>
        <w:sz w:val="24"/>
      </w:rPr>
      <w:instrText xml:space="preserve"> PAGE </w:instrText>
    </w:r>
    <w:r w:rsidRPr="00EA199B">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EA199B">
      <w:rPr>
        <w:rStyle w:val="a7"/>
        <w:rFonts w:ascii="Times New Roman" w:hAnsi="Times New Roman" w:cs="Times New Roman"/>
        <w:sz w:val="24"/>
      </w:rPr>
      <w:fldChar w:fldCharType="end"/>
    </w:r>
  </w:p>
  <w:p w:rsidR="00EA199B" w:rsidRPr="00EA199B" w:rsidRDefault="00EA199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9B"/>
    <w:rsid w:val="00806B2D"/>
    <w:rsid w:val="00EA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ECBEC0-2EA7-4D80-97C3-0039A451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A19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EA19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A19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A199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A199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A199B"/>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EA19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A19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A199B"/>
    <w:rPr>
      <w:rFonts w:ascii="Times New Roman" w:hAnsi="Times New Roman" w:cs="Times New Roman" w:hint="default"/>
      <w:caps/>
    </w:rPr>
  </w:style>
  <w:style w:type="character" w:customStyle="1" w:styleId="promulgator">
    <w:name w:val="promulgator"/>
    <w:basedOn w:val="a0"/>
    <w:rsid w:val="00EA199B"/>
    <w:rPr>
      <w:rFonts w:ascii="Times New Roman" w:hAnsi="Times New Roman" w:cs="Times New Roman" w:hint="default"/>
      <w:caps/>
    </w:rPr>
  </w:style>
  <w:style w:type="character" w:customStyle="1" w:styleId="datepr">
    <w:name w:val="datepr"/>
    <w:basedOn w:val="a0"/>
    <w:rsid w:val="00EA199B"/>
    <w:rPr>
      <w:rFonts w:ascii="Times New Roman" w:hAnsi="Times New Roman" w:cs="Times New Roman" w:hint="default"/>
    </w:rPr>
  </w:style>
  <w:style w:type="character" w:customStyle="1" w:styleId="number">
    <w:name w:val="number"/>
    <w:basedOn w:val="a0"/>
    <w:rsid w:val="00EA199B"/>
    <w:rPr>
      <w:rFonts w:ascii="Times New Roman" w:hAnsi="Times New Roman" w:cs="Times New Roman" w:hint="default"/>
    </w:rPr>
  </w:style>
  <w:style w:type="character" w:customStyle="1" w:styleId="rednoun">
    <w:name w:val="rednoun"/>
    <w:basedOn w:val="a0"/>
    <w:rsid w:val="00EA199B"/>
  </w:style>
  <w:style w:type="character" w:customStyle="1" w:styleId="post">
    <w:name w:val="post"/>
    <w:basedOn w:val="a0"/>
    <w:rsid w:val="00EA199B"/>
    <w:rPr>
      <w:rFonts w:ascii="Times New Roman" w:hAnsi="Times New Roman" w:cs="Times New Roman" w:hint="default"/>
      <w:b/>
      <w:bCs/>
      <w:sz w:val="22"/>
      <w:szCs w:val="22"/>
    </w:rPr>
  </w:style>
  <w:style w:type="character" w:customStyle="1" w:styleId="pers">
    <w:name w:val="pers"/>
    <w:basedOn w:val="a0"/>
    <w:rsid w:val="00EA199B"/>
    <w:rPr>
      <w:rFonts w:ascii="Times New Roman" w:hAnsi="Times New Roman" w:cs="Times New Roman" w:hint="default"/>
      <w:b/>
      <w:bCs/>
      <w:sz w:val="22"/>
      <w:szCs w:val="22"/>
    </w:rPr>
  </w:style>
  <w:style w:type="paragraph" w:styleId="a3">
    <w:name w:val="header"/>
    <w:basedOn w:val="a"/>
    <w:link w:val="a4"/>
    <w:uiPriority w:val="99"/>
    <w:unhideWhenUsed/>
    <w:rsid w:val="00EA1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199B"/>
  </w:style>
  <w:style w:type="paragraph" w:styleId="a5">
    <w:name w:val="footer"/>
    <w:basedOn w:val="a"/>
    <w:link w:val="a6"/>
    <w:uiPriority w:val="99"/>
    <w:unhideWhenUsed/>
    <w:rsid w:val="00EA1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199B"/>
  </w:style>
  <w:style w:type="character" w:styleId="a7">
    <w:name w:val="page number"/>
    <w:basedOn w:val="a0"/>
    <w:uiPriority w:val="99"/>
    <w:semiHidden/>
    <w:unhideWhenUsed/>
    <w:rsid w:val="00EA199B"/>
  </w:style>
  <w:style w:type="table" w:styleId="a8">
    <w:name w:val="Table Grid"/>
    <w:basedOn w:val="a1"/>
    <w:uiPriority w:val="39"/>
    <w:rsid w:val="00EA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7777</Characters>
  <Application>Microsoft Office Word</Application>
  <DocSecurity>0</DocSecurity>
  <Lines>162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 Дмитрий Александрович</dc:creator>
  <cp:keywords/>
  <dc:description/>
  <cp:lastModifiedBy>Денисов Дмитрий Александрович</cp:lastModifiedBy>
  <cp:revision>1</cp:revision>
  <dcterms:created xsi:type="dcterms:W3CDTF">2021-05-06T14:52:00Z</dcterms:created>
  <dcterms:modified xsi:type="dcterms:W3CDTF">2021-05-06T14:53:00Z</dcterms:modified>
</cp:coreProperties>
</file>